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05" w:rsidRPr="003549FA" w:rsidRDefault="00581A05" w:rsidP="004A37A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3549FA">
        <w:rPr>
          <w:rFonts w:eastAsia="Times New Roman" w:cstheme="minorHAnsi"/>
          <w:b/>
          <w:sz w:val="28"/>
          <w:szCs w:val="28"/>
        </w:rPr>
        <w:t>EK-5</w:t>
      </w:r>
    </w:p>
    <w:p w:rsidR="00581A05" w:rsidRPr="003549FA" w:rsidRDefault="00581A05" w:rsidP="004A37A6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</w:rPr>
      </w:pPr>
      <w:r w:rsidRPr="003549FA">
        <w:rPr>
          <w:rFonts w:eastAsia="Times New Roman" w:cstheme="minorHAnsi"/>
          <w:b/>
          <w:sz w:val="28"/>
          <w:szCs w:val="28"/>
        </w:rPr>
        <w:t>ÇEVRESEL TAKİP DEFTERİ KONULARI</w:t>
      </w:r>
    </w:p>
    <w:p w:rsidR="00BE5103" w:rsidRPr="003549FA" w:rsidRDefault="00BE5103" w:rsidP="004A37A6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</w:rPr>
      </w:pPr>
    </w:p>
    <w:p w:rsidR="00546697" w:rsidRPr="003549FA" w:rsidRDefault="00BE5103" w:rsidP="0054669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549FA">
        <w:rPr>
          <w:rFonts w:cstheme="minorHAnsi"/>
          <w:b/>
          <w:color w:val="000000" w:themeColor="text1"/>
          <w:sz w:val="24"/>
          <w:szCs w:val="24"/>
        </w:rPr>
        <w:t>UYARI</w:t>
      </w:r>
      <w:r w:rsidR="00546697" w:rsidRPr="003549FA">
        <w:rPr>
          <w:rFonts w:cstheme="minorHAnsi"/>
          <w:b/>
          <w:color w:val="000000" w:themeColor="text1"/>
          <w:sz w:val="24"/>
          <w:szCs w:val="24"/>
        </w:rPr>
        <w:t>:</w:t>
      </w:r>
      <w:r w:rsidR="00546697" w:rsidRPr="003549FA">
        <w:rPr>
          <w:rFonts w:cstheme="minorHAnsi"/>
          <w:color w:val="000000" w:themeColor="text1"/>
          <w:sz w:val="24"/>
          <w:szCs w:val="24"/>
        </w:rPr>
        <w:t xml:space="preserve"> LÜTFEN ÇEVRESEL TAKİP DEFTERİ KONULARI İLE ÇEVRE EĞİTİM ETKİNLİKLERİNİ BİRBİRİNE KARIŞTIRMAYINIZ!</w:t>
      </w:r>
    </w:p>
    <w:p w:rsidR="00546697" w:rsidRPr="003549FA" w:rsidRDefault="00BE5103" w:rsidP="00BE510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549FA">
        <w:rPr>
          <w:rFonts w:cstheme="minorHAnsi"/>
          <w:color w:val="000000" w:themeColor="text1"/>
          <w:sz w:val="24"/>
          <w:szCs w:val="24"/>
        </w:rPr>
        <w:t xml:space="preserve">Sayın Mavi Bayrak sorumlusu, Mavi Bayrak Başvurusuyla beraber teslim edilmesi gereken dosyalardan, Çevre eğitim etkinlikleri ve Çevresel takip sistemi konularını </w:t>
      </w:r>
      <w:r w:rsidR="00546697" w:rsidRPr="003549FA">
        <w:rPr>
          <w:rFonts w:cstheme="minorHAnsi"/>
          <w:color w:val="000000" w:themeColor="text1"/>
          <w:sz w:val="24"/>
          <w:szCs w:val="24"/>
        </w:rPr>
        <w:t>birbirinden farklıdır.</w:t>
      </w:r>
      <w:r w:rsidRPr="003549FA">
        <w:rPr>
          <w:rFonts w:cstheme="minorHAnsi"/>
          <w:color w:val="000000" w:themeColor="text1"/>
          <w:sz w:val="24"/>
          <w:szCs w:val="24"/>
        </w:rPr>
        <w:t xml:space="preserve"> Çevre eğitim</w:t>
      </w:r>
      <w:r w:rsidR="00546697" w:rsidRPr="003549FA">
        <w:rPr>
          <w:rFonts w:cstheme="minorHAnsi"/>
          <w:color w:val="000000" w:themeColor="text1"/>
          <w:sz w:val="24"/>
          <w:szCs w:val="24"/>
        </w:rPr>
        <w:t xml:space="preserve"> ve bilinçlendirme</w:t>
      </w:r>
      <w:r w:rsidRPr="003549FA">
        <w:rPr>
          <w:rFonts w:cstheme="minorHAnsi"/>
          <w:color w:val="000000" w:themeColor="text1"/>
          <w:sz w:val="24"/>
          <w:szCs w:val="24"/>
        </w:rPr>
        <w:t xml:space="preserve"> etkinlikleri, çevre bilincinin arttırılmasına yönelik konuları içerir.</w:t>
      </w:r>
      <w:proofErr w:type="gramStart"/>
      <w:r w:rsidRPr="003549FA">
        <w:rPr>
          <w:rFonts w:cstheme="minorHAnsi"/>
          <w:color w:val="000000" w:themeColor="text1"/>
          <w:sz w:val="24"/>
          <w:szCs w:val="24"/>
        </w:rPr>
        <w:t>(</w:t>
      </w:r>
      <w:proofErr w:type="gramEnd"/>
      <w:r w:rsidRPr="003549FA">
        <w:rPr>
          <w:rFonts w:cstheme="minorHAnsi"/>
          <w:color w:val="000000" w:themeColor="text1"/>
          <w:sz w:val="24"/>
          <w:szCs w:val="24"/>
        </w:rPr>
        <w:t>Çevre Semineri, toplantılar, kıyı temizliği organizasyonu, marina dibi temizliği, teknik geziler... vb.) Çevresel takip sisteminde işlenmesi gereken konul</w:t>
      </w:r>
      <w:r w:rsidR="00546697" w:rsidRPr="003549FA">
        <w:rPr>
          <w:rFonts w:cstheme="minorHAnsi"/>
          <w:color w:val="000000" w:themeColor="text1"/>
          <w:sz w:val="24"/>
          <w:szCs w:val="24"/>
        </w:rPr>
        <w:t>ar ise</w:t>
      </w:r>
      <w:r w:rsidRPr="003549FA">
        <w:rPr>
          <w:rFonts w:cstheme="minorHAnsi"/>
          <w:color w:val="000000" w:themeColor="text1"/>
          <w:sz w:val="24"/>
          <w:szCs w:val="24"/>
        </w:rPr>
        <w:t xml:space="preserve"> marina</w:t>
      </w:r>
      <w:r w:rsidR="00546697" w:rsidRPr="003549FA">
        <w:rPr>
          <w:rFonts w:cstheme="minorHAnsi"/>
          <w:color w:val="000000" w:themeColor="text1"/>
          <w:sz w:val="24"/>
          <w:szCs w:val="24"/>
        </w:rPr>
        <w:t>da</w:t>
      </w:r>
      <w:r w:rsidRPr="003549FA">
        <w:rPr>
          <w:rFonts w:cstheme="minorHAnsi"/>
          <w:color w:val="000000" w:themeColor="text1"/>
          <w:sz w:val="24"/>
          <w:szCs w:val="24"/>
        </w:rPr>
        <w:t xml:space="preserve"> </w:t>
      </w:r>
      <w:r w:rsidR="00546697" w:rsidRPr="003549FA">
        <w:rPr>
          <w:rFonts w:cstheme="minorHAnsi"/>
          <w:color w:val="000000" w:themeColor="text1"/>
          <w:sz w:val="24"/>
          <w:szCs w:val="24"/>
        </w:rPr>
        <w:t>çevre</w:t>
      </w:r>
      <w:r w:rsidRPr="003549FA">
        <w:rPr>
          <w:rFonts w:cstheme="minorHAnsi"/>
          <w:color w:val="000000" w:themeColor="text1"/>
          <w:sz w:val="24"/>
          <w:szCs w:val="24"/>
        </w:rPr>
        <w:t xml:space="preserve"> </w:t>
      </w:r>
      <w:r w:rsidR="00546697" w:rsidRPr="003549FA">
        <w:rPr>
          <w:rFonts w:cstheme="minorHAnsi"/>
          <w:color w:val="000000" w:themeColor="text1"/>
          <w:sz w:val="24"/>
          <w:szCs w:val="24"/>
        </w:rPr>
        <w:t xml:space="preserve">yönetimi başlığına giren konularda yapılacak faaliyetleri içerir. Eğer marinada </w:t>
      </w:r>
      <w:r w:rsidR="00546697" w:rsidRPr="003549FA">
        <w:rPr>
          <w:rFonts w:cstheme="minorHAnsi"/>
          <w:b/>
          <w:color w:val="000000" w:themeColor="text1"/>
          <w:sz w:val="24"/>
          <w:szCs w:val="24"/>
        </w:rPr>
        <w:t>ISO 14001</w:t>
      </w:r>
      <w:r w:rsidR="00546697" w:rsidRPr="003549FA">
        <w:rPr>
          <w:rFonts w:cstheme="minorHAnsi"/>
          <w:color w:val="000000" w:themeColor="text1"/>
          <w:sz w:val="24"/>
          <w:szCs w:val="24"/>
        </w:rPr>
        <w:t xml:space="preserve"> </w:t>
      </w:r>
      <w:r w:rsidRPr="003549FA">
        <w:rPr>
          <w:rFonts w:cstheme="minorHAnsi"/>
          <w:color w:val="000000" w:themeColor="text1"/>
          <w:sz w:val="24"/>
          <w:szCs w:val="24"/>
        </w:rPr>
        <w:t xml:space="preserve">Çevre Yönetim Sistemi uygulanıyor ise </w:t>
      </w:r>
      <w:r w:rsidR="00B90C27" w:rsidRPr="003549FA">
        <w:rPr>
          <w:rFonts w:cstheme="minorHAnsi"/>
          <w:color w:val="000000" w:themeColor="text1"/>
          <w:sz w:val="24"/>
          <w:szCs w:val="24"/>
        </w:rPr>
        <w:t>EK-3 ve EK-4</w:t>
      </w:r>
      <w:r w:rsidR="00546697" w:rsidRPr="003549FA">
        <w:rPr>
          <w:rFonts w:cstheme="minorHAnsi"/>
          <w:color w:val="000000" w:themeColor="text1"/>
          <w:sz w:val="24"/>
          <w:szCs w:val="24"/>
        </w:rPr>
        <w:t xml:space="preserve"> formunun doldurulmasına gerek yoktur.</w:t>
      </w:r>
      <w:r w:rsidRPr="003549FA">
        <w:rPr>
          <w:rFonts w:cstheme="minorHAnsi"/>
          <w:color w:val="000000" w:themeColor="text1"/>
          <w:sz w:val="24"/>
          <w:szCs w:val="24"/>
        </w:rPr>
        <w:t xml:space="preserve"> </w:t>
      </w:r>
      <w:r w:rsidR="00546697" w:rsidRPr="003549FA">
        <w:rPr>
          <w:rFonts w:cstheme="minorHAnsi"/>
          <w:color w:val="000000" w:themeColor="text1"/>
          <w:sz w:val="24"/>
          <w:szCs w:val="24"/>
        </w:rPr>
        <w:tab/>
        <w:t xml:space="preserve">Eğer marinada ISO 14001 Çevre Yönetim Sistemi uygulanmıyor ise, lütfen Çevre Danışmanlık firmanızdan yardım alarak aşağıda listelenen konuları inceleyiniz ve </w:t>
      </w:r>
      <w:r w:rsidR="00B90C27" w:rsidRPr="003549FA">
        <w:rPr>
          <w:rFonts w:cstheme="minorHAnsi"/>
          <w:color w:val="000000" w:themeColor="text1"/>
          <w:sz w:val="24"/>
          <w:szCs w:val="24"/>
        </w:rPr>
        <w:t xml:space="preserve">EK-3 ve </w:t>
      </w:r>
      <w:r w:rsidR="00531E67" w:rsidRPr="003549FA">
        <w:rPr>
          <w:rFonts w:cstheme="minorHAnsi"/>
          <w:color w:val="000000" w:themeColor="text1"/>
          <w:sz w:val="24"/>
          <w:szCs w:val="24"/>
        </w:rPr>
        <w:t>EK-4’te verilen tabloyu ondan sonra doldurunuz.</w:t>
      </w:r>
    </w:p>
    <w:p w:rsidR="004A37A6" w:rsidRPr="004A37A6" w:rsidRDefault="004A37A6" w:rsidP="00BE5103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7324"/>
      </w:tblGrid>
      <w:tr w:rsidR="00581A05" w:rsidRPr="007E2F44" w:rsidTr="00C8521E">
        <w:trPr>
          <w:trHeight w:val="257"/>
        </w:trPr>
        <w:tc>
          <w:tcPr>
            <w:tcW w:w="2080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  <w:b/>
              </w:rPr>
            </w:pPr>
            <w:r w:rsidRPr="007233DA">
              <w:rPr>
                <w:rFonts w:eastAsia="Times New Roman" w:cstheme="minorHAnsi"/>
                <w:b/>
              </w:rPr>
              <w:t>HEDEF</w:t>
            </w:r>
            <w:r>
              <w:rPr>
                <w:rFonts w:eastAsia="Times New Roman" w:cstheme="minorHAnsi"/>
                <w:b/>
              </w:rPr>
              <w:t xml:space="preserve"> ANA BAŞLIĞI 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81A05" w:rsidRPr="007233DA" w:rsidRDefault="00A91CC7" w:rsidP="00C7687F">
            <w:pPr>
              <w:spacing w:after="0" w:line="36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TANIM</w:t>
            </w:r>
          </w:p>
        </w:tc>
      </w:tr>
      <w:tr w:rsidR="00581A05" w:rsidRPr="007E2F44" w:rsidTr="00C8521E">
        <w:trPr>
          <w:trHeight w:val="132"/>
        </w:trPr>
        <w:tc>
          <w:tcPr>
            <w:tcW w:w="2080" w:type="dxa"/>
            <w:shd w:val="clear" w:color="auto" w:fill="E0E0E0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  <w:b/>
              </w:rPr>
              <w:t>1 Elektrik</w:t>
            </w:r>
            <w:r w:rsidR="00546697">
              <w:rPr>
                <w:rFonts w:eastAsia="Times New Roman" w:cstheme="minorHAnsi"/>
                <w:b/>
              </w:rPr>
              <w:t xml:space="preserve"> Tasarrufu</w:t>
            </w:r>
          </w:p>
        </w:tc>
        <w:tc>
          <w:tcPr>
            <w:tcW w:w="7324" w:type="dxa"/>
            <w:shd w:val="clear" w:color="auto" w:fill="E0E0E0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</w:p>
        </w:tc>
      </w:tr>
      <w:tr w:rsidR="00581A05" w:rsidRPr="007E2F44" w:rsidTr="00C8521E">
        <w:trPr>
          <w:trHeight w:val="125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1a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Ampullerin değiştirilmesi</w:t>
            </w:r>
          </w:p>
        </w:tc>
      </w:tr>
      <w:tr w:rsidR="00581A05" w:rsidRPr="007E2F44" w:rsidTr="00C8521E">
        <w:trPr>
          <w:trHeight w:val="125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1b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Işıkların kontrolü</w:t>
            </w:r>
          </w:p>
        </w:tc>
      </w:tr>
      <w:tr w:rsidR="00581A05" w:rsidRPr="007E2F44" w:rsidTr="00C8521E">
        <w:trPr>
          <w:trHeight w:val="132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1c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 xml:space="preserve">Eski </w:t>
            </w:r>
            <w:proofErr w:type="gramStart"/>
            <w:r w:rsidRPr="007233DA">
              <w:rPr>
                <w:rFonts w:eastAsia="Times New Roman" w:cstheme="minorHAnsi"/>
              </w:rPr>
              <w:t>ekipman</w:t>
            </w:r>
            <w:proofErr w:type="gramEnd"/>
            <w:r w:rsidRPr="007233DA">
              <w:rPr>
                <w:rFonts w:eastAsia="Times New Roman" w:cstheme="minorHAnsi"/>
              </w:rPr>
              <w:t xml:space="preserve"> ve tesisat/donanımın değiştirilmesi</w:t>
            </w:r>
          </w:p>
        </w:tc>
      </w:tr>
      <w:tr w:rsidR="00581A05" w:rsidRPr="007E2F44" w:rsidTr="00C8521E">
        <w:trPr>
          <w:trHeight w:val="125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1d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 xml:space="preserve">Güneş ışığı kolektörü </w:t>
            </w:r>
          </w:p>
        </w:tc>
      </w:tr>
      <w:tr w:rsidR="00581A05" w:rsidRPr="007E2F44" w:rsidTr="00C8521E">
        <w:trPr>
          <w:trHeight w:val="264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1e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Dalgakırandaki elektrik sisteminin 4 amperle sınırlandırılması</w:t>
            </w:r>
          </w:p>
        </w:tc>
      </w:tr>
      <w:tr w:rsidR="00581A05" w:rsidRPr="007E2F44" w:rsidTr="00C8521E">
        <w:trPr>
          <w:trHeight w:val="125"/>
        </w:trPr>
        <w:tc>
          <w:tcPr>
            <w:tcW w:w="2080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1f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 xml:space="preserve">Marinadaki genel elektrik </w:t>
            </w:r>
            <w:proofErr w:type="gramStart"/>
            <w:r w:rsidRPr="007233DA">
              <w:rPr>
                <w:rFonts w:eastAsia="Times New Roman" w:cstheme="minorHAnsi"/>
              </w:rPr>
              <w:t>izolasyonunun</w:t>
            </w:r>
            <w:proofErr w:type="gramEnd"/>
            <w:r w:rsidRPr="007233DA">
              <w:rPr>
                <w:rFonts w:eastAsia="Times New Roman" w:cstheme="minorHAnsi"/>
              </w:rPr>
              <w:t xml:space="preserve"> araştırılması</w:t>
            </w:r>
          </w:p>
        </w:tc>
      </w:tr>
      <w:tr w:rsidR="00581A05" w:rsidRPr="007E2F44" w:rsidTr="00C8521E">
        <w:trPr>
          <w:trHeight w:val="125"/>
        </w:trPr>
        <w:tc>
          <w:tcPr>
            <w:tcW w:w="2080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1 g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Marinaya güneş pilleri yerleştirilmesi</w:t>
            </w:r>
          </w:p>
        </w:tc>
      </w:tr>
      <w:tr w:rsidR="00581A05" w:rsidRPr="007E2F44" w:rsidTr="00C8521E">
        <w:trPr>
          <w:trHeight w:val="126"/>
        </w:trPr>
        <w:tc>
          <w:tcPr>
            <w:tcW w:w="9404" w:type="dxa"/>
            <w:gridSpan w:val="2"/>
            <w:shd w:val="clear" w:color="auto" w:fill="E0E0E0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  <w:b/>
              </w:rPr>
              <w:t>2 Su</w:t>
            </w:r>
            <w:r w:rsidR="00546697">
              <w:rPr>
                <w:rFonts w:eastAsia="Times New Roman" w:cstheme="minorHAnsi"/>
                <w:b/>
              </w:rPr>
              <w:t xml:space="preserve"> Tasarrufu</w:t>
            </w:r>
          </w:p>
        </w:tc>
      </w:tr>
      <w:tr w:rsidR="00581A05" w:rsidRPr="007E2F44" w:rsidTr="00C8521E">
        <w:trPr>
          <w:trHeight w:val="133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2a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Su tasarrufu yapan duş sistemi</w:t>
            </w:r>
          </w:p>
        </w:tc>
      </w:tr>
      <w:tr w:rsidR="00581A05" w:rsidRPr="007E2F44" w:rsidTr="00C8521E">
        <w:trPr>
          <w:trHeight w:val="126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2b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Su tasarrufu yapan musluklar</w:t>
            </w:r>
          </w:p>
        </w:tc>
      </w:tr>
      <w:tr w:rsidR="00581A05" w:rsidRPr="007E2F44" w:rsidTr="00C8521E">
        <w:trPr>
          <w:trHeight w:val="534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2c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Tuvaletlerin, duşların, muslukların tasarruflu olanlarla değiştirilmesi</w:t>
            </w:r>
          </w:p>
        </w:tc>
      </w:tr>
      <w:tr w:rsidR="00581A05" w:rsidRPr="007E2F44" w:rsidTr="00C8521E">
        <w:trPr>
          <w:trHeight w:val="126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2d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Tesisatın kontrol edilmesi</w:t>
            </w:r>
          </w:p>
        </w:tc>
      </w:tr>
      <w:tr w:rsidR="00581A05" w:rsidRPr="007E2F44" w:rsidTr="00C8521E">
        <w:trPr>
          <w:trHeight w:val="133"/>
        </w:trPr>
        <w:tc>
          <w:tcPr>
            <w:tcW w:w="2080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2e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Su tasarrufu konusunda bilgilendirme</w:t>
            </w:r>
          </w:p>
        </w:tc>
      </w:tr>
      <w:tr w:rsidR="00581A05" w:rsidRPr="007E2F44" w:rsidTr="00C8521E">
        <w:trPr>
          <w:trHeight w:val="133"/>
        </w:trPr>
        <w:tc>
          <w:tcPr>
            <w:tcW w:w="2080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2 f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Gri su geri kazanım sistemi kurulması</w:t>
            </w:r>
          </w:p>
        </w:tc>
      </w:tr>
      <w:tr w:rsidR="00581A05" w:rsidRPr="007E2F44" w:rsidTr="00C8521E">
        <w:trPr>
          <w:trHeight w:val="133"/>
        </w:trPr>
        <w:tc>
          <w:tcPr>
            <w:tcW w:w="2080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2 g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Bahçe sulamada damlama sistemi kurulması</w:t>
            </w:r>
          </w:p>
        </w:tc>
      </w:tr>
      <w:tr w:rsidR="00581A05" w:rsidRPr="007E2F44" w:rsidTr="00C8521E">
        <w:trPr>
          <w:trHeight w:val="132"/>
        </w:trPr>
        <w:tc>
          <w:tcPr>
            <w:tcW w:w="9404" w:type="dxa"/>
            <w:gridSpan w:val="2"/>
            <w:shd w:val="clear" w:color="auto" w:fill="E0E0E0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  <w:b/>
              </w:rPr>
              <w:t>3 Çevre dostu ürünlerin satın alınması ve kullanılması</w:t>
            </w:r>
          </w:p>
        </w:tc>
      </w:tr>
      <w:tr w:rsidR="00581A05" w:rsidRPr="007E2F44" w:rsidTr="00C8521E">
        <w:trPr>
          <w:trHeight w:val="125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3a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Marinada kullanılan metal dekorasyon malzemelerinin ahşap malzemelerden temin edilmesi</w:t>
            </w:r>
          </w:p>
        </w:tc>
      </w:tr>
      <w:tr w:rsidR="00581A05" w:rsidRPr="007E2F44" w:rsidTr="00C8521E">
        <w:trPr>
          <w:trHeight w:val="264"/>
        </w:trPr>
        <w:tc>
          <w:tcPr>
            <w:tcW w:w="2080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3b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 xml:space="preserve">Temizlik ve yıkama işlemleri için biyolojik olarak çözünen malzemelerin </w:t>
            </w:r>
            <w:r w:rsidRPr="007233DA">
              <w:rPr>
                <w:rFonts w:eastAsia="Times New Roman" w:cstheme="minorHAnsi"/>
              </w:rPr>
              <w:lastRenderedPageBreak/>
              <w:t>kullanılması</w:t>
            </w:r>
          </w:p>
        </w:tc>
      </w:tr>
      <w:tr w:rsidR="00581A05" w:rsidRPr="007E2F44" w:rsidTr="00C8521E">
        <w:trPr>
          <w:trHeight w:val="264"/>
        </w:trPr>
        <w:tc>
          <w:tcPr>
            <w:tcW w:w="2080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lastRenderedPageBreak/>
              <w:t>3 c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Marinaya alınacak elektronik eşyalarda A sınıfı cihazların tercih edilmesi</w:t>
            </w:r>
          </w:p>
        </w:tc>
      </w:tr>
      <w:tr w:rsidR="00581A05" w:rsidRPr="007E2F44" w:rsidTr="00C8521E">
        <w:trPr>
          <w:trHeight w:val="1"/>
        </w:trPr>
        <w:tc>
          <w:tcPr>
            <w:tcW w:w="9404" w:type="dxa"/>
            <w:gridSpan w:val="2"/>
            <w:shd w:val="clear" w:color="auto" w:fill="E0E0E0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  <w:b/>
              </w:rPr>
              <w:t>4 Çöp Yönetimi</w:t>
            </w:r>
          </w:p>
        </w:tc>
      </w:tr>
      <w:tr w:rsidR="00581A05" w:rsidRPr="007E2F44" w:rsidTr="00C8521E">
        <w:trPr>
          <w:trHeight w:val="1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4a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Kısa mesafeli yolculuklar için geri dönüşüm torbaları hazırlanması</w:t>
            </w:r>
          </w:p>
        </w:tc>
      </w:tr>
      <w:tr w:rsidR="00581A05" w:rsidRPr="007E2F44" w:rsidTr="00C8521E">
        <w:trPr>
          <w:trHeight w:val="4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4b</w:t>
            </w: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Organik atıklar (</w:t>
            </w:r>
            <w:proofErr w:type="spellStart"/>
            <w:r w:rsidRPr="007233DA">
              <w:rPr>
                <w:rFonts w:eastAsia="Times New Roman" w:cstheme="minorHAnsi"/>
              </w:rPr>
              <w:t>kompost</w:t>
            </w:r>
            <w:proofErr w:type="spellEnd"/>
            <w:r w:rsidRPr="007233DA">
              <w:rPr>
                <w:rFonts w:eastAsia="Times New Roman" w:cstheme="minorHAnsi"/>
              </w:rPr>
              <w:t xml:space="preserve"> için) ve inorganik/zehirli atıkların ayrılması. Evsel atıkların da ayrı toplanması için ayrı bir bölüm oluşturulması </w:t>
            </w:r>
          </w:p>
        </w:tc>
      </w:tr>
      <w:tr w:rsidR="00581A05" w:rsidRPr="007E2F44" w:rsidTr="00C8521E">
        <w:trPr>
          <w:trHeight w:val="1"/>
        </w:trPr>
        <w:tc>
          <w:tcPr>
            <w:tcW w:w="2080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4c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proofErr w:type="spellStart"/>
            <w:r w:rsidRPr="007233DA">
              <w:rPr>
                <w:rFonts w:eastAsia="Times New Roman" w:cstheme="minorHAnsi"/>
              </w:rPr>
              <w:t>Kompost</w:t>
            </w:r>
            <w:proofErr w:type="spellEnd"/>
            <w:r w:rsidRPr="007233DA">
              <w:rPr>
                <w:rFonts w:eastAsia="Times New Roman" w:cstheme="minorHAnsi"/>
              </w:rPr>
              <w:t xml:space="preserve"> kutularının oluşturulması</w:t>
            </w:r>
          </w:p>
        </w:tc>
      </w:tr>
      <w:tr w:rsidR="00581A05" w:rsidRPr="007E2F44" w:rsidTr="00C8521E">
        <w:trPr>
          <w:trHeight w:val="125"/>
        </w:trPr>
        <w:tc>
          <w:tcPr>
            <w:tcW w:w="9404" w:type="dxa"/>
            <w:gridSpan w:val="2"/>
            <w:shd w:val="clear" w:color="auto" w:fill="E0E0E0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  <w:b/>
              </w:rPr>
              <w:t>5 Sağlık ve emniyet</w:t>
            </w:r>
          </w:p>
        </w:tc>
      </w:tr>
      <w:tr w:rsidR="00581A05" w:rsidRPr="007E2F44" w:rsidTr="00C8521E">
        <w:trPr>
          <w:trHeight w:val="132"/>
        </w:trPr>
        <w:tc>
          <w:tcPr>
            <w:tcW w:w="2080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>5a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</w:rPr>
              <w:t xml:space="preserve">Denizde </w:t>
            </w:r>
            <w:proofErr w:type="spellStart"/>
            <w:r w:rsidRPr="007233DA">
              <w:rPr>
                <w:rFonts w:eastAsia="Times New Roman" w:cstheme="minorHAnsi"/>
              </w:rPr>
              <w:t>cankurtarma</w:t>
            </w:r>
            <w:proofErr w:type="spellEnd"/>
            <w:r w:rsidRPr="007233DA">
              <w:rPr>
                <w:rFonts w:eastAsia="Times New Roman" w:cstheme="minorHAnsi"/>
              </w:rPr>
              <w:t xml:space="preserve"> ile ilgili kurslar</w:t>
            </w:r>
          </w:p>
        </w:tc>
      </w:tr>
      <w:tr w:rsidR="00581A05" w:rsidRPr="007E2F44" w:rsidTr="00C8521E">
        <w:trPr>
          <w:trHeight w:val="132"/>
        </w:trPr>
        <w:tc>
          <w:tcPr>
            <w:tcW w:w="9404" w:type="dxa"/>
            <w:gridSpan w:val="2"/>
            <w:shd w:val="clear" w:color="auto" w:fill="E0E0E0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  <w:r w:rsidRPr="007233DA">
              <w:rPr>
                <w:rFonts w:eastAsia="Times New Roman" w:cstheme="minorHAnsi"/>
                <w:b/>
              </w:rPr>
              <w:t>6 Marinanın önerdiği diğer hedefler</w:t>
            </w:r>
          </w:p>
        </w:tc>
      </w:tr>
      <w:tr w:rsidR="00581A05" w:rsidRPr="007E2F44" w:rsidTr="00C8521E">
        <w:trPr>
          <w:trHeight w:val="132"/>
        </w:trPr>
        <w:tc>
          <w:tcPr>
            <w:tcW w:w="2080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</w:p>
        </w:tc>
        <w:tc>
          <w:tcPr>
            <w:tcW w:w="7324" w:type="dxa"/>
          </w:tcPr>
          <w:p w:rsidR="00581A05" w:rsidRPr="007233DA" w:rsidRDefault="00581A05" w:rsidP="00C7687F">
            <w:pPr>
              <w:spacing w:after="0" w:line="360" w:lineRule="auto"/>
              <w:rPr>
                <w:rFonts w:eastAsia="Times New Roman" w:cstheme="minorHAnsi"/>
              </w:rPr>
            </w:pPr>
          </w:p>
        </w:tc>
      </w:tr>
    </w:tbl>
    <w:p w:rsidR="00581A05" w:rsidRDefault="00581A05" w:rsidP="00C8521E"/>
    <w:sectPr w:rsidR="00581A05" w:rsidSect="00D63511">
      <w:footerReference w:type="default" r:id="rId7"/>
      <w:pgSz w:w="11906" w:h="16838"/>
      <w:pgMar w:top="1134" w:right="1134" w:bottom="1134" w:left="130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2" w:rsidRDefault="00CB39B2" w:rsidP="00995003">
      <w:pPr>
        <w:spacing w:after="0" w:line="240" w:lineRule="auto"/>
      </w:pPr>
      <w:r>
        <w:separator/>
      </w:r>
    </w:p>
  </w:endnote>
  <w:endnote w:type="continuationSeparator" w:id="0">
    <w:p w:rsidR="00CB39B2" w:rsidRDefault="00CB39B2" w:rsidP="0099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03" w:rsidRDefault="00995003">
    <w:pPr>
      <w:pStyle w:val="Altbilgi"/>
      <w:jc w:val="center"/>
    </w:pPr>
  </w:p>
  <w:p w:rsidR="00995003" w:rsidRDefault="009950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2" w:rsidRDefault="00CB39B2" w:rsidP="00995003">
      <w:pPr>
        <w:spacing w:after="0" w:line="240" w:lineRule="auto"/>
      </w:pPr>
      <w:r>
        <w:separator/>
      </w:r>
    </w:p>
  </w:footnote>
  <w:footnote w:type="continuationSeparator" w:id="0">
    <w:p w:rsidR="00CB39B2" w:rsidRDefault="00CB39B2" w:rsidP="0099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603FA"/>
    <w:multiLevelType w:val="hybridMultilevel"/>
    <w:tmpl w:val="606C97B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6B9"/>
    <w:rsid w:val="00141832"/>
    <w:rsid w:val="001E4D99"/>
    <w:rsid w:val="00280851"/>
    <w:rsid w:val="00290EF8"/>
    <w:rsid w:val="003549FA"/>
    <w:rsid w:val="00452152"/>
    <w:rsid w:val="004A37A6"/>
    <w:rsid w:val="00531E67"/>
    <w:rsid w:val="00546697"/>
    <w:rsid w:val="00581A05"/>
    <w:rsid w:val="00646FA9"/>
    <w:rsid w:val="00676054"/>
    <w:rsid w:val="006C1F3B"/>
    <w:rsid w:val="0070314C"/>
    <w:rsid w:val="007F4EDB"/>
    <w:rsid w:val="00916F15"/>
    <w:rsid w:val="009936B9"/>
    <w:rsid w:val="00995003"/>
    <w:rsid w:val="009D111D"/>
    <w:rsid w:val="009E6BDC"/>
    <w:rsid w:val="00A365E0"/>
    <w:rsid w:val="00A55944"/>
    <w:rsid w:val="00A91CC7"/>
    <w:rsid w:val="00AE33C0"/>
    <w:rsid w:val="00B828A8"/>
    <w:rsid w:val="00B90C27"/>
    <w:rsid w:val="00BC17F4"/>
    <w:rsid w:val="00BE5103"/>
    <w:rsid w:val="00C3419B"/>
    <w:rsid w:val="00C8521E"/>
    <w:rsid w:val="00CB39B2"/>
    <w:rsid w:val="00D20027"/>
    <w:rsid w:val="00D63511"/>
    <w:rsid w:val="00E21A82"/>
    <w:rsid w:val="00E250D3"/>
    <w:rsid w:val="00E30301"/>
    <w:rsid w:val="00EE423D"/>
    <w:rsid w:val="00E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016E0-A85F-4A5F-9385-0C3AA20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5003"/>
  </w:style>
  <w:style w:type="paragraph" w:styleId="Altbilgi">
    <w:name w:val="footer"/>
    <w:basedOn w:val="Normal"/>
    <w:link w:val="AltbilgiChar"/>
    <w:uiPriority w:val="99"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003"/>
  </w:style>
  <w:style w:type="paragraph" w:styleId="ListeParagraf">
    <w:name w:val="List Paragraph"/>
    <w:basedOn w:val="Normal"/>
    <w:uiPriority w:val="34"/>
    <w:qFormat/>
    <w:rsid w:val="0058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TURCEV</cp:lastModifiedBy>
  <cp:revision>23</cp:revision>
  <dcterms:created xsi:type="dcterms:W3CDTF">2014-10-20T09:33:00Z</dcterms:created>
  <dcterms:modified xsi:type="dcterms:W3CDTF">2021-10-07T13:11:00Z</dcterms:modified>
</cp:coreProperties>
</file>