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86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3435"/>
        <w:gridCol w:w="2298"/>
        <w:gridCol w:w="4713"/>
        <w:gridCol w:w="3395"/>
      </w:tblGrid>
      <w:tr w:rsidR="00D61B4F" w:rsidRPr="00533DA0" w:rsidTr="00CC62C1">
        <w:trPr>
          <w:trHeight w:val="737"/>
        </w:trPr>
        <w:tc>
          <w:tcPr>
            <w:tcW w:w="886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D61B4F" w:rsidRDefault="00D61B4F" w:rsidP="00CC62C1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 xml:space="preserve">Etkinlik adı 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D61B4F" w:rsidRPr="00533DA0" w:rsidRDefault="00D61B4F" w:rsidP="00CC62C1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2298" w:type="dxa"/>
          </w:tcPr>
          <w:p w:rsidR="00D61B4F" w:rsidRDefault="00D61B4F" w:rsidP="00CC62C1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Pr="003A3D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</w:t>
            </w:r>
            <w:r w:rsidRPr="000648CE">
              <w:rPr>
                <w:rFonts w:ascii="Arial" w:hAnsi="Arial" w:cs="Arial"/>
                <w:b/>
              </w:rPr>
              <w:t xml:space="preserve"> Yeri</w:t>
            </w:r>
          </w:p>
          <w:p w:rsidR="00D61B4F" w:rsidRPr="00533DA0" w:rsidRDefault="00D61B4F" w:rsidP="00CC62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Place</w:t>
            </w:r>
            <w:proofErr w:type="spellEnd"/>
          </w:p>
        </w:tc>
        <w:tc>
          <w:tcPr>
            <w:tcW w:w="4713" w:type="dxa"/>
          </w:tcPr>
          <w:p w:rsidR="00D61B4F" w:rsidRDefault="00D61B4F" w:rsidP="00CC62C1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>
              <w:rPr>
                <w:rFonts w:ascii="Arial" w:hAnsi="Arial" w:cs="Arial"/>
                <w:b/>
              </w:rPr>
              <w:t>ğin Amacı ve İçeriği</w:t>
            </w:r>
          </w:p>
          <w:p w:rsidR="00D61B4F" w:rsidRPr="00533DA0" w:rsidRDefault="00D61B4F" w:rsidP="00CC62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/>
              </w:rPr>
              <w:t>Aim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content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533DA0">
              <w:rPr>
                <w:rFonts w:ascii="Arial" w:hAnsi="Arial" w:cs="Arial"/>
                <w:i/>
              </w:rPr>
              <w:t xml:space="preserve">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395" w:type="dxa"/>
          </w:tcPr>
          <w:p w:rsidR="00D61B4F" w:rsidRPr="00533DA0" w:rsidRDefault="00D61B4F" w:rsidP="00CC62C1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61B4F" w:rsidRPr="00533DA0" w:rsidRDefault="00D61B4F" w:rsidP="00CC62C1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D61B4F" w:rsidRPr="003A3D03" w:rsidTr="00CC62C1">
        <w:trPr>
          <w:trHeight w:val="1433"/>
        </w:trPr>
        <w:tc>
          <w:tcPr>
            <w:tcW w:w="886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3435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Dünya Su Günü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(World </w:t>
            </w:r>
            <w:proofErr w:type="spellStart"/>
            <w:r w:rsidRPr="00DB2BDF">
              <w:rPr>
                <w:rFonts w:ascii="Arial" w:hAnsi="Arial" w:cs="Arial"/>
              </w:rPr>
              <w:t>Water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Day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Otel çalışanları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 Hotel </w:t>
            </w:r>
            <w:proofErr w:type="spellStart"/>
            <w:r w:rsidRPr="00DB2BDF">
              <w:rPr>
                <w:rFonts w:ascii="Arial" w:hAnsi="Arial" w:cs="Arial"/>
              </w:rPr>
              <w:t>employees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Dünya Su Günü etkinliklerinin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gerçekleştirilmesi</w:t>
            </w:r>
            <w:proofErr w:type="gramEnd"/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Organizing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activities</w:t>
            </w:r>
            <w:proofErr w:type="spell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related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22nd </w:t>
            </w:r>
            <w:proofErr w:type="spellStart"/>
            <w:r w:rsidRPr="00DB2BDF">
              <w:rPr>
                <w:rFonts w:ascii="Arial" w:hAnsi="Arial" w:cs="Arial"/>
              </w:rPr>
              <w:t>MarchWorld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WaterDay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395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Mart 2023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March</w:t>
            </w:r>
            <w:proofErr w:type="spellEnd"/>
            <w:r w:rsidRPr="00DB2BDF">
              <w:rPr>
                <w:rFonts w:ascii="Arial" w:hAnsi="Arial" w:cs="Arial"/>
              </w:rPr>
              <w:t xml:space="preserve"> 2023</w:t>
            </w:r>
          </w:p>
        </w:tc>
      </w:tr>
      <w:tr w:rsidR="00D61B4F" w:rsidRPr="003A3D03" w:rsidTr="00CC62C1">
        <w:trPr>
          <w:trHeight w:val="1016"/>
        </w:trPr>
        <w:tc>
          <w:tcPr>
            <w:tcW w:w="886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3435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Avrupa Çevre Ajansı Deniz Çöpleri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İzleme Programı kapsamında etkinlik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düzenlenmesi</w:t>
            </w:r>
            <w:proofErr w:type="gramEnd"/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Organizing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activities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with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European</w:t>
            </w:r>
            <w:proofErr w:type="spell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Environment </w:t>
            </w:r>
            <w:proofErr w:type="spellStart"/>
            <w:r w:rsidRPr="00DB2BDF">
              <w:rPr>
                <w:rFonts w:ascii="Arial" w:hAnsi="Arial" w:cs="Arial"/>
              </w:rPr>
              <w:t>Agency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2298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Mavi Bayrak Sorumluları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ve</w:t>
            </w:r>
            <w:proofErr w:type="gramEnd"/>
            <w:r w:rsidRPr="00DB2BDF">
              <w:rPr>
                <w:rFonts w:ascii="Arial" w:hAnsi="Arial" w:cs="Arial"/>
              </w:rPr>
              <w:t xml:space="preserve"> Halk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Public</w:t>
            </w:r>
            <w:proofErr w:type="spellEnd"/>
            <w:r w:rsidRPr="00DB2BDF">
              <w:rPr>
                <w:rFonts w:ascii="Arial" w:hAnsi="Arial" w:cs="Arial"/>
              </w:rPr>
              <w:t xml:space="preserve">, Blue </w:t>
            </w:r>
            <w:proofErr w:type="spellStart"/>
            <w:r w:rsidRPr="00DB2BDF">
              <w:rPr>
                <w:rFonts w:ascii="Arial" w:hAnsi="Arial" w:cs="Arial"/>
              </w:rPr>
              <w:t>Flag</w:t>
            </w:r>
            <w:proofErr w:type="spell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Operators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4713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İskele Tersane Önü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Harbour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Shipyard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395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Mayıs 2023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(May 2023)</w:t>
            </w:r>
          </w:p>
        </w:tc>
      </w:tr>
      <w:tr w:rsidR="00D61B4F" w:rsidRPr="003A3D03" w:rsidTr="00CC62C1">
        <w:trPr>
          <w:trHeight w:val="1016"/>
        </w:trPr>
        <w:tc>
          <w:tcPr>
            <w:tcW w:w="886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3435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Dünya Çevre Günü Etkinlikleri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Düzenlenmesi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(World </w:t>
            </w:r>
            <w:proofErr w:type="spellStart"/>
            <w:r w:rsidRPr="00DB2BDF">
              <w:rPr>
                <w:rFonts w:ascii="Arial" w:hAnsi="Arial" w:cs="Arial"/>
              </w:rPr>
              <w:t>Enviroment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Day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2298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Otelde konaklayan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misafirler</w:t>
            </w:r>
            <w:proofErr w:type="gram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 </w:t>
            </w:r>
            <w:proofErr w:type="spellStart"/>
            <w:r w:rsidRPr="00DB2BDF">
              <w:rPr>
                <w:rFonts w:ascii="Arial" w:hAnsi="Arial" w:cs="Arial"/>
              </w:rPr>
              <w:t>Guests</w:t>
            </w:r>
            <w:proofErr w:type="spellEnd"/>
            <w:r w:rsidRPr="00DB2BDF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713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Çevre temizliğine </w:t>
            </w:r>
            <w:proofErr w:type="spellStart"/>
            <w:r w:rsidRPr="00DB2BDF">
              <w:rPr>
                <w:rFonts w:ascii="Arial" w:hAnsi="Arial" w:cs="Arial"/>
              </w:rPr>
              <w:t>dikkateleri</w:t>
            </w:r>
            <w:proofErr w:type="spellEnd"/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çekmek</w:t>
            </w:r>
            <w:proofErr w:type="gramEnd"/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attract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attention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environment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cleaning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395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Haziran 2023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June</w:t>
            </w:r>
            <w:proofErr w:type="spellEnd"/>
            <w:r w:rsidRPr="00DB2BDF">
              <w:rPr>
                <w:rFonts w:ascii="Arial" w:hAnsi="Arial" w:cs="Arial"/>
              </w:rPr>
              <w:t xml:space="preserve"> 2023)</w:t>
            </w:r>
          </w:p>
        </w:tc>
      </w:tr>
      <w:tr w:rsidR="00D61B4F" w:rsidRPr="003A3D03" w:rsidTr="00CC62C1">
        <w:trPr>
          <w:trHeight w:val="1016"/>
        </w:trPr>
        <w:tc>
          <w:tcPr>
            <w:tcW w:w="886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3435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Küresel ısınma ve etkileri semineri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Seminar</w:t>
            </w:r>
            <w:proofErr w:type="spellEnd"/>
            <w:r w:rsidRPr="00DB2BDF">
              <w:rPr>
                <w:rFonts w:ascii="Arial" w:hAnsi="Arial" w:cs="Arial"/>
              </w:rPr>
              <w:t xml:space="preserve"> on </w:t>
            </w:r>
            <w:proofErr w:type="gramStart"/>
            <w:r w:rsidRPr="00DB2BDF">
              <w:rPr>
                <w:rFonts w:ascii="Arial" w:hAnsi="Arial" w:cs="Arial"/>
              </w:rPr>
              <w:t>global</w:t>
            </w:r>
            <w:proofErr w:type="gram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warming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and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its</w:t>
            </w:r>
            <w:proofErr w:type="spell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effects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2298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Otel Çalışanları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(Hotel </w:t>
            </w:r>
            <w:proofErr w:type="spellStart"/>
            <w:r w:rsidRPr="00DB2BDF">
              <w:rPr>
                <w:rFonts w:ascii="Arial" w:hAnsi="Arial" w:cs="Arial"/>
              </w:rPr>
              <w:t>employees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4713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Çevre bilincinin artması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Increased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awareness</w:t>
            </w:r>
            <w:proofErr w:type="spellEnd"/>
            <w:r w:rsidRPr="00DB2BDF">
              <w:rPr>
                <w:rFonts w:ascii="Arial" w:hAnsi="Arial" w:cs="Arial"/>
              </w:rPr>
              <w:t xml:space="preserve"> of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environment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395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Temmuz 2023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June</w:t>
            </w:r>
            <w:proofErr w:type="spellEnd"/>
            <w:r w:rsidRPr="00DB2BDF">
              <w:rPr>
                <w:rFonts w:ascii="Arial" w:hAnsi="Arial" w:cs="Arial"/>
              </w:rPr>
              <w:t xml:space="preserve"> 2023)</w:t>
            </w:r>
          </w:p>
        </w:tc>
      </w:tr>
      <w:tr w:rsidR="00D61B4F" w:rsidRPr="003A3D03" w:rsidTr="00CC62C1">
        <w:trPr>
          <w:trHeight w:val="1042"/>
        </w:trPr>
        <w:tc>
          <w:tcPr>
            <w:tcW w:w="886" w:type="dxa"/>
          </w:tcPr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3435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Deniz yüzeyi temizliği farkındalık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çalışmalarının</w:t>
            </w:r>
            <w:proofErr w:type="gramEnd"/>
            <w:r w:rsidRPr="00DB2BDF">
              <w:rPr>
                <w:rFonts w:ascii="Arial" w:hAnsi="Arial" w:cs="Arial"/>
              </w:rPr>
              <w:t xml:space="preserve"> yapılması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Organizing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actions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based</w:t>
            </w:r>
            <w:proofErr w:type="spellEnd"/>
            <w:r w:rsidRPr="00DB2BDF">
              <w:rPr>
                <w:rFonts w:ascii="Arial" w:hAnsi="Arial" w:cs="Arial"/>
              </w:rPr>
              <w:t xml:space="preserve"> on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lastRenderedPageBreak/>
              <w:t>awareness</w:t>
            </w:r>
            <w:proofErr w:type="spellEnd"/>
            <w:r w:rsidRPr="00DB2BDF">
              <w:rPr>
                <w:rFonts w:ascii="Arial" w:hAnsi="Arial" w:cs="Arial"/>
              </w:rPr>
              <w:t xml:space="preserve"> of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cleaning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surface</w:t>
            </w:r>
            <w:proofErr w:type="spellEnd"/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of</w:t>
            </w:r>
            <w:proofErr w:type="gram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sea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D61B4F" w:rsidRPr="00DB2BDF" w:rsidRDefault="00D61B4F" w:rsidP="00CC62C1">
            <w:pPr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lastRenderedPageBreak/>
              <w:t>Mavi Bayrak Sorumluları,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Plaj Kullanıcıları ve Halk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Public</w:t>
            </w:r>
            <w:proofErr w:type="spellEnd"/>
            <w:r w:rsidRPr="00DB2BDF">
              <w:rPr>
                <w:rFonts w:ascii="Arial" w:hAnsi="Arial" w:cs="Arial"/>
              </w:rPr>
              <w:t xml:space="preserve">, Blue </w:t>
            </w:r>
            <w:proofErr w:type="spellStart"/>
            <w:r w:rsidRPr="00DB2BDF">
              <w:rPr>
                <w:rFonts w:ascii="Arial" w:hAnsi="Arial" w:cs="Arial"/>
              </w:rPr>
              <w:t>Flag</w:t>
            </w:r>
            <w:proofErr w:type="spellEnd"/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Operators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and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Beach</w:t>
            </w:r>
            <w:proofErr w:type="spell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Users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4713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lastRenderedPageBreak/>
              <w:t>Deniz temizliğine dikkatleri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çekmek</w:t>
            </w:r>
            <w:proofErr w:type="gramEnd"/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attract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attention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sea</w:t>
            </w:r>
            <w:proofErr w:type="spell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cleaning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395" w:type="dxa"/>
          </w:tcPr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Temmuz/Ağustos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2023</w:t>
            </w:r>
          </w:p>
          <w:p w:rsidR="00D61B4F" w:rsidRPr="00DB2BDF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July</w:t>
            </w:r>
            <w:proofErr w:type="spellEnd"/>
            <w:r w:rsidRPr="00DB2BDF">
              <w:rPr>
                <w:rFonts w:ascii="Arial" w:hAnsi="Arial" w:cs="Arial"/>
              </w:rPr>
              <w:t xml:space="preserve"> / </w:t>
            </w:r>
            <w:proofErr w:type="spellStart"/>
            <w:r w:rsidRPr="00DB2BDF">
              <w:rPr>
                <w:rFonts w:ascii="Arial" w:hAnsi="Arial" w:cs="Arial"/>
              </w:rPr>
              <w:t>August</w:t>
            </w:r>
            <w:proofErr w:type="spellEnd"/>
          </w:p>
          <w:p w:rsidR="00D61B4F" w:rsidRPr="003A3D03" w:rsidRDefault="00D61B4F" w:rsidP="00CC62C1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2023)</w:t>
            </w:r>
          </w:p>
        </w:tc>
      </w:tr>
    </w:tbl>
    <w:p w:rsidR="00226C62" w:rsidRDefault="00CC62C1"/>
    <w:p w:rsidR="00CC62C1" w:rsidRDefault="00D61B4F" w:rsidP="00D61B4F">
      <w:pPr>
        <w:rPr>
          <w:rStyle w:val="fontstyle01"/>
        </w:rPr>
      </w:pPr>
      <w:r>
        <w:rPr>
          <w:rFonts w:ascii="Arial" w:hAnsi="Arial" w:cs="Arial"/>
          <w:b/>
        </w:rPr>
        <w:t>ETKİNLİKLERİ ORGANİZE EDECEK BELEDİYE, DERNEK VEYA İŞLETME</w:t>
      </w:r>
      <w:r w:rsidRPr="00533DA0">
        <w:rPr>
          <w:rFonts w:ascii="Arial" w:hAnsi="Arial" w:cs="Arial"/>
        </w:rPr>
        <w:t>:</w:t>
      </w:r>
      <w:r w:rsidRPr="00DB2BDF">
        <w:t xml:space="preserve"> </w:t>
      </w:r>
      <w:proofErr w:type="spellStart"/>
      <w:r w:rsidR="00CC62C1" w:rsidRPr="00CC62C1">
        <w:t>Senza</w:t>
      </w:r>
      <w:proofErr w:type="spellEnd"/>
      <w:r w:rsidR="00CC62C1" w:rsidRPr="00CC62C1">
        <w:t xml:space="preserve"> Grand Santana</w:t>
      </w:r>
      <w:bookmarkStart w:id="0" w:name="_GoBack"/>
      <w:bookmarkEnd w:id="0"/>
    </w:p>
    <w:p w:rsidR="00D61B4F" w:rsidRDefault="00D61B4F" w:rsidP="00D61B4F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>
        <w:rPr>
          <w:rFonts w:ascii="Arial" w:hAnsi="Arial" w:cs="Arial"/>
          <w:b/>
        </w:rPr>
        <w:t xml:space="preserve"> </w:t>
      </w:r>
      <w:r w:rsidRPr="00533DA0">
        <w:rPr>
          <w:rFonts w:ascii="Arial" w:hAnsi="Arial" w:cs="Arial"/>
        </w:rPr>
        <w:t>(REGION OF ACTIVITES):</w:t>
      </w:r>
      <w:r>
        <w:rPr>
          <w:rFonts w:ascii="Arial" w:hAnsi="Arial" w:cs="Arial"/>
        </w:rPr>
        <w:t>ALANYA</w:t>
      </w:r>
    </w:p>
    <w:p w:rsidR="00D61B4F" w:rsidRPr="00533DA0" w:rsidRDefault="00D61B4F" w:rsidP="00D61B4F">
      <w:pPr>
        <w:rPr>
          <w:rFonts w:ascii="Arial" w:hAnsi="Arial" w:cs="Arial"/>
          <w:sz w:val="16"/>
          <w:szCs w:val="16"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DB2BDF">
        <w:t xml:space="preserve"> </w:t>
      </w:r>
    </w:p>
    <w:p w:rsidR="00D61B4F" w:rsidRDefault="00D61B4F" w:rsidP="00D61B4F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eğitim etkinliklerini içerir ve ödüller belli olduktan sonra bir kopyasının plajdaki Mavi bayrak Panosunda ayrılan göze konulması gerekmektedir. Beşten fazla etkinlik için lütfen bu sayfadan kopyalayıp ekleyiniz.</w:t>
      </w:r>
    </w:p>
    <w:p w:rsidR="00D61B4F" w:rsidRDefault="00D61B4F" w:rsidP="00D61B4F"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add</w:t>
      </w:r>
      <w:proofErr w:type="spellEnd"/>
    </w:p>
    <w:sectPr w:rsidR="00D61B4F" w:rsidSect="00D61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4F"/>
    <w:rsid w:val="007A50EC"/>
    <w:rsid w:val="00CC62C1"/>
    <w:rsid w:val="00D61B4F"/>
    <w:rsid w:val="00E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749F"/>
  <w15:chartTrackingRefBased/>
  <w15:docId w15:val="{C6E05FE6-79B9-4300-BF8A-E1F066AD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6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61B4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61B4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Tos</dc:creator>
  <cp:keywords/>
  <dc:description/>
  <cp:lastModifiedBy>Selin Tos</cp:lastModifiedBy>
  <cp:revision>2</cp:revision>
  <dcterms:created xsi:type="dcterms:W3CDTF">2022-12-14T08:13:00Z</dcterms:created>
  <dcterms:modified xsi:type="dcterms:W3CDTF">2022-12-14T08:13:00Z</dcterms:modified>
</cp:coreProperties>
</file>